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26-334</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 xml:space="preserve">Notice of Intended Action to be published: rule 481—1062.1(544A,17A) </w:t>
      </w:r>
    </w:p>
    <w:p>
      <w:pPr>
        <w:spacing w:before="0" w:after="0" w:line="480"/>
        <w:ind w:left="120"/>
        <w:jc w:val="center"/>
      </w:pPr>
      <w:r>
        <w:rPr>
          <w:rFonts w:ascii="Times New Roman" w:hAnsi="Times New Roman"/>
          <w:b w:val="false"/>
          <w:i w:val="false"/>
          <w:color w:val="000000"/>
          <w:sz w:val="24"/>
        </w:rPr>
        <w:t>“Licensing”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544A.29 and 272C</w:t>
      </w:r>
    </w:p>
    <w:p>
      <w:pPr>
        <w:spacing w:before="0" w:after="0" w:line="480"/>
        <w:ind w:left="120"/>
        <w:jc w:val="both"/>
      </w:pPr>
      <w:r>
        <w:rPr>
          <w:rFonts w:ascii="Times New Roman" w:hAnsi="Times New Roman"/>
          <w:b w:val="false"/>
          <w:i w:val="false"/>
          <w:color w:val="000000"/>
          <w:sz w:val="24"/>
        </w:rPr>
        <w:t>State or federal law(s) implemented by the rulemaking: Iowa Code chapters 544A and 272C</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4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Architectural Examining Board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SchraderBachar</w:t>
            </w:r>
            <w:r>
              <w:br/>
            </w:r>
            <w:r>
              <w:rPr>
                <w:rFonts w:ascii="Times New Roman" w:hAnsi="Times New Roman"/>
                <w:b w:val="false"/>
                <w:i w:val="false"/>
                <w:color w:val="000000"/>
                <w:sz w:val="14"/>
              </w:rPr>
              <w:t>6200 Park Avenue</w:t>
            </w:r>
            <w:r>
              <w:br/>
            </w:r>
            <w:r>
              <w:rPr>
                <w:rFonts w:ascii="Times New Roman" w:hAnsi="Times New Roman"/>
                <w:b w:val="false"/>
                <w:i w:val="false"/>
                <w:color w:val="000000"/>
                <w:sz w:val="14"/>
              </w:rPr>
              <w:t xml:space="preserve">Des Moines, Iowa </w:t>
            </w:r>
            <w:r>
              <w:br/>
            </w:r>
            <w:r>
              <w:rPr>
                <w:rFonts w:ascii="Times New Roman" w:hAnsi="Times New Roman"/>
                <w:b w:val="false"/>
                <w:i w:val="false"/>
                <w:color w:val="000000"/>
                <w:sz w:val="14"/>
              </w:rPr>
              <w:t>Phone: 515.725.9030</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lori.schraderbachar@dia.iowa.gov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a publication date for guidelines incorporated by reference.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 xml:space="preserve">There are no anticipated costs related to this proposed rulemaking other than the costs already incurred by the Board to enforce the rules. Licensed architects will not incur any additional costs other than the cost of licensing.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This proposed rulemaking provides clarity for licensure candidates and architects as to the correct version of referenced guidelines.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Members of the public would incur no costs other than fees paid to an architect or architectural firm for projects that are not exempt. The costs vary depending on the size and complexity of the project. Changed guidelines are available online.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Board believes that the benefits achieved justify the costs because this proposed rulemaking provides clarity with regard to referenced publications.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Costs to the agency are for the staff time needed to manage Board activities, which include oversight of practice standards and requirements. Staff salaries to support the work of the Board are covered by the Licensing and Regulation Fund established in 2023 Iowa Acts, Senate File 557.</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anticipated impact on State revenues. Staff salaries to support the work of the Board are covered by the fund.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Board believes the cost and benefit are worth establishing requirements for architectural licensure to ensure public safety.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Board does not believe there is a less costly or less intrusive method to achieve the purpose of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Board has not identified any alternative methods to carry out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Board has not identified any alternative methods to carry out this proposed rulemaking.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relates to public safety concerns that are present whether the business is a small business or a large organization. This proposed rulemaking is meant to ensure public safety in terms of licensure for architects. While some architects likely are running a small business of their own, some also work for large organizations. To exempt a small business from adhering to this chapter would jeopardize any member of the public who sought services from that small business. The risk to the public is greater than the potential harm or cost to the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i w:val="false"/>
          <w:color w:val="000000"/>
          <w:sz w:val="24"/>
        </w:rPr>
        <w:t>481—1062.1(544A,17A)</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“NCARB Certification Guidelines,”</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“NCARB Certification Guidelines”</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edition of a document by the same title published by the National Council of Architectural Registration Boards in </w:t>
      </w:r>
      <w:r>
        <w:rPr>
          <w:rFonts w:ascii="Times New Roman" w:hAnsi="Times New Roman"/>
          <w:b w:val="false"/>
          <w:i w:val="false"/>
          <w:strike/>
          <w:color w:val="000000"/>
          <w:sz w:val="24"/>
        </w:rPr>
        <w:t>January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September</w:t>
      </w:r>
      <w:r>
        <w:rPr>
          <w:rFonts w:ascii="Times New Roman" w:hAnsi="Times New Roman"/>
          <w:b w:val="false"/>
          <w:i w:val="false"/>
          <w:color w:val="000000"/>
          <w:sz w:val="24"/>
        </w:rPr>
        <w:t xml:space="preserve"> 2026. The document outlines the requirements for licensure as an architect.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schraderbachar@dia.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